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Vieira Roberto Wandenkolk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Oncology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100.82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3,946</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10b5-1 plan adopted by the Reporting Person on June 17, 2026, prior to the reporting person being appointed an officer of the Issuer, which was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179 shares underlying unvested restricted stock awards granted to the Reporting Person by the Issuer on December 1, 2025, 396 shares underlying unvested restricted stock awards granted to the Reporting Person by the Issuer on March 2, 2026, 634 shares underlying unvested restricted stock awards granted to the Reporting Person by the Issuer on June 1, 2026 and 138 shares underlying unvested restricted stock awards granted to the Reporting Person by the Issuer on September 1, 2026. 100% of the shares underlying the restricted stock awards will vest on the one-year anniversary of the grant date provided the Reporting Person satisfies certain requirements.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Roberto Wandenkolk Vieira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50104"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736</Words>
  <Characters>3995</Characters>
  <CharactersWithSpaces>4660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