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Maduck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8"/>
        <w:gridCol w:w="928"/>
        <w:gridCol w:w="796"/>
        <w:gridCol w:w="616"/>
        <w:gridCol w:w="343"/>
        <w:gridCol w:w="815"/>
        <w:gridCol w:w="422"/>
        <w:gridCol w:w="1102"/>
        <w:gridCol w:w="1121"/>
        <w:gridCol w:w="971"/>
        <w:gridCol w:w="11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10,786</w:t>
            </w:r>
            <w:r>
              <w:rPr>
                <w:rFonts w:ascii="Times;serif" w:hAnsi="Times;serif"/>
                <w:color w:val="008000"/>
                <w:position w:val="7"/>
                <w:sz w:val="16"/>
                <w:sz w:val="20"/>
                <w:shd w:fill="FFFFFF" w:val="clear"/>
              </w:rPr>
              <w:t>(1)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114.5182</w:t>
            </w:r>
            <w:r>
              <w:rPr>
                <w:rFonts w:ascii="Times;serif" w:hAnsi="Times;serif"/>
                <w:color w:val="008000"/>
                <w:position w:val="7"/>
                <w:sz w:val="16"/>
                <w:sz w:val="20"/>
                <w:shd w:fill="FFFFFF" w:val="clear"/>
              </w:rPr>
              <w:t>(3)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9,755</w:t>
            </w:r>
            <w:r>
              <w:rPr>
                <w:rFonts w:ascii="Times;serif" w:hAnsi="Times;serif"/>
                <w:color w:val="008000"/>
                <w:position w:val="7"/>
                <w:sz w:val="16"/>
                <w:sz w:val="20"/>
                <w:shd w:fill="FFFFFF" w:val="clear"/>
              </w:rPr>
              <w:t>(1)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20,570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19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95,650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228 shares underlying unvested restricted stock awards granted to the Reporting Person by the Issuer on September 2, 2025, 205 shares underlying unvested restricted stock awards granted to the Reporting Person by the Issuer on December 1, 2025, 454 shares underlying unvested restricted stock awards granted to the Reporting Person by the Issuer on March 2, 2026 and 615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December 8, 2025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$114.50 to $114.58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shares held by Sean and Molly Maduck Living Trust of which the Reporting Person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shares held by MMM 2025, LLC of which the Reporting Person is a member and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shares held by SNM 2025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shares held by SNM 2026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shares held by Duckhill Capital, LLC of which the Reporting Person is President and disclaims beneficial ownership of the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Corcept Endocrinology 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Sean Maduck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8310"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5000</Characters>
  <CharactersWithSpaces>5820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