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Maduck Sean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833"/>
        <w:gridCol w:w="444"/>
        <w:gridCol w:w="836"/>
        <w:gridCol w:w="1145"/>
        <w:gridCol w:w="984"/>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3,664</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8.27</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13,419</w:t>
            </w:r>
            <w:r>
              <w:rPr>
                <w:rFonts w:ascii="Times;serif" w:hAnsi="Times;serif"/>
                <w:color w:val="008000"/>
                <w:position w:val="7"/>
                <w:sz w:val="16"/>
                <w:sz w:val="20"/>
                <w:shd w:fill="FFFFFF" w:val="clear"/>
              </w:rPr>
              <w:t>(1)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3,664</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114.49</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9,755</w:t>
            </w:r>
            <w:r>
              <w:rPr>
                <w:rFonts w:ascii="Times;serif" w:hAnsi="Times;serif"/>
                <w:color w:val="008000"/>
                <w:position w:val="7"/>
                <w:sz w:val="16"/>
                <w:sz w:val="20"/>
                <w:shd w:fill="FFFFFF" w:val="clear"/>
              </w:rPr>
              <w:t>(1)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5,147</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20,570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34,000</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3,664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02/10/2027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3,664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91,986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228 shares underlying unvested restricted stock awards granted to the Reporting Person by the Issuer on September 2, 2025, 205 shares underlying unvested restricted stock awards granted to the Reporting Person by the Issuer on December 1, 2025, 454 shares underlying unvested restricted stock awards granted to the Reporting Person by the Issuer on March 2, 2026 and 615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December 8, 2025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shares held by Sean and Molly Maduck Living Trust of which the Reporting Person is a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shares held by MMM 2025, LLC of which the Reporting Person is a member and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the shares held by SNM 2025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shares held by SNM 2026 Grantor Retained Annuity Trust of which the Reporting Person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shares held by Duckhill Capital, LLC of which the Reporting Person is President and disclaims beneficial ownership of the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Corcept Endocrinology 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Sean Maduck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8310"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893</Words>
  <Characters>4780</Characters>
  <CharactersWithSpaces>5556</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