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Robb Gary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8"/>
        <w:gridCol w:w="917"/>
        <w:gridCol w:w="786"/>
        <w:gridCol w:w="609"/>
        <w:gridCol w:w="347"/>
        <w:gridCol w:w="927"/>
        <w:gridCol w:w="441"/>
        <w:gridCol w:w="664"/>
        <w:gridCol w:w="1148"/>
        <w:gridCol w:w="98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13,551</w:t>
            </w:r>
            <w:r>
              <w:rPr>
                <w:rFonts w:ascii="Times;serif" w:hAnsi="Times;serif"/>
                <w:color w:val="008000"/>
                <w:position w:val="7"/>
                <w:sz w:val="16"/>
                <w:sz w:val="20"/>
                <w:shd w:fill="FFFFFF" w:val="clear"/>
              </w:rPr>
              <w:t>(1)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(2)</w:t>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(3)</w:t>
            </w:r>
          </w:p>
        </w:tc>
      </w:tr>
      <w:tr>
        <w:trPr/>
        <w:tc>
          <w:tcPr>
            <w:tcW w:w="22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49,716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Gary Charles Robb TTE Robb Revocable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251 shares underlying unvested restricted stock awards granted to the Reporting Person by the Issuer on September 2, 2025, 224 shares underlying unvested restricted stock awards granted to the Reporting Person by the Issuer on December 1, 2025, 499 shares underlying unvested restricted stock awards granted to the Reporting Person by the Issuer on March 2, 2026 and 776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Gary Charles Robb TTE Robb Revocable Trust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Gary Charles Robb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655"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4365</Characters>
  <CharactersWithSpaces>5083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