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Guyer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CORCEPT THERAPEUTICS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REDWOOD SHORES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CORCEPT THERAPEUTICS INC</w:t>
              </w:r>
            </w:hyperlink>
            <w:r>
              <w:rPr/>
              <w:t xml:space="preserve"> [ </w:t>
            </w:r>
            <w:r>
              <w:rPr>
                <w:rFonts w:ascii="Times;serif" w:hAnsi="Times;serif"/>
                <w:color w:val="0000FF"/>
                <w:sz w:val="24"/>
                <w:shd w:fill="FFFFFF" w:val="clear"/>
              </w:rPr>
              <w:t>CORT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Development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21.65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20,285</w:t>
            </w:r>
            <w:r>
              <w:rPr>
                <w:rFonts w:ascii="Times;serif" w:hAnsi="Times;serif"/>
                <w:color w:val="008000"/>
                <w:position w:val="7"/>
                <w:sz w:val="16"/>
                <w:sz w:val="20"/>
                <w:shd w:fill="FFFFFF" w:val="clear"/>
              </w:rPr>
              <w:t>(1)</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11,530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113.1772</w:t>
            </w: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8,755</w:t>
            </w:r>
            <w:r>
              <w:rPr>
                <w:rFonts w:ascii="Times;serif" w:hAnsi="Times;serif"/>
                <w:color w:val="008000"/>
                <w:position w:val="7"/>
                <w:sz w:val="16"/>
                <w:sz w:val="20"/>
                <w:shd w:fill="FFFFFF" w:val="clear"/>
              </w:rPr>
              <w:t>(1)</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4,770</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114.0371</w:t>
            </w:r>
            <w:r>
              <w:rPr>
                <w:rFonts w:ascii="Times;serif" w:hAnsi="Times;serif"/>
                <w:color w:val="008000"/>
                <w:position w:val="7"/>
                <w:sz w:val="16"/>
                <w:sz w:val="20"/>
                <w:shd w:fill="FFFFFF" w:val="clear"/>
              </w:rPr>
              <w:t>(4)</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3,985</w:t>
            </w:r>
            <w:r>
              <w:rPr>
                <w:rFonts w:ascii="Times;serif" w:hAnsi="Times;serif"/>
                <w:color w:val="008000"/>
                <w:position w:val="7"/>
                <w:sz w:val="16"/>
                <w:sz w:val="20"/>
                <w:shd w:fill="FFFFFF" w:val="clear"/>
              </w:rPr>
              <w:t>(1)</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21.65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16,300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224 shares underlying unvested restricted stock awards granted to the Reporting Person by the Issuer on December 1, 2025, 498 shares underlying unvested restricted stock awards granted to the Reporting Person by the Issuer on March 2, 2026 and 877 shares underlying unvested restricted stock awards granted to the Reporting Person by the Issuer on June 1, 2026. 100% of the shares underlying the restricted stock awards will vest on the one-year anniversary of the grant date provided the Reporting Person satisfies certain requirements.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made pursuant to a 10b5-1 plan adopted by the Reporting Person on November 27, 2024 in effect at the time of this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 price for the entire number of shares sold. The actual sale prices range from $112.80 to $113.75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weighted average sale price for the entire number of shares sold. The actual sale prices range from $113.98 to $114.24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Fully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power of attorney under which this form was signed is on file with the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Douglas Lyon, as attorney-in-fact for William Guyer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79013" TargetMode="External"/><Relationship Id="rId5" Type="http://schemas.openxmlformats.org/officeDocument/2006/relationships/hyperlink" Target="http://www.sec.gov/cgi-bin/browse-edgar?action=getcompany&amp;CIK=00010888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830</Words>
  <Characters>4452</Characters>
  <CharactersWithSpaces>5180</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