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Robb Gary Charles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CORCEPT THERAPEUTICS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REDWOOD SHORES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CORCEPT THERAPEUTICS INC</w:t>
              </w:r>
            </w:hyperlink>
            <w:r>
              <w:rPr/>
              <w:t xml:space="preserve"> [ </w:t>
            </w:r>
            <w:r>
              <w:rPr>
                <w:rFonts w:ascii="Times;serif" w:hAnsi="Times;serif"/>
                <w:color w:val="0000FF"/>
                <w:sz w:val="24"/>
                <w:shd w:fill="FFFFFF" w:val="clear"/>
              </w:rPr>
              <w:t>CORT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Business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77"/>
        <w:gridCol w:w="924"/>
        <w:gridCol w:w="794"/>
        <w:gridCol w:w="613"/>
        <w:gridCol w:w="338"/>
        <w:gridCol w:w="902"/>
        <w:gridCol w:w="411"/>
        <w:gridCol w:w="1103"/>
        <w:gridCol w:w="1100"/>
        <w:gridCol w:w="955"/>
        <w:gridCol w:w="118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1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8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13,426</w:t>
            </w:r>
            <w:r>
              <w:rPr>
                <w:rFonts w:ascii="Times;serif" w:hAnsi="Times;serif"/>
                <w:color w:val="008000"/>
                <w:position w:val="7"/>
                <w:sz w:val="16"/>
                <w:sz w:val="20"/>
                <w:shd w:fill="FFFFFF" w:val="clear"/>
              </w:rPr>
              <w:t>(1)</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116.2572</w:t>
            </w:r>
            <w:r>
              <w:rPr>
                <w:rFonts w:ascii="Times;serif" w:hAnsi="Times;serif"/>
                <w:color w:val="008000"/>
                <w:position w:val="7"/>
                <w:sz w:val="16"/>
                <w:sz w:val="20"/>
                <w:shd w:fill="FFFFFF" w:val="clear"/>
              </w:rPr>
              <w:t>(2)</w:t>
            </w:r>
          </w:p>
        </w:tc>
        <w:tc>
          <w:tcPr>
            <w:tcW w:w="11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39,716</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Gary Charles Robb TTE Robb Revocable Trust</w:t>
            </w:r>
            <w:r>
              <w:rPr>
                <w:rFonts w:ascii="Times;serif" w:hAnsi="Times;serif"/>
                <w:color w:val="008000"/>
                <w:position w:val="7"/>
                <w:sz w:val="16"/>
                <w:sz w:val="20"/>
                <w:shd w:fill="FFFFFF" w:val="clear"/>
              </w:rPr>
              <w:t>(3)</w:t>
            </w:r>
          </w:p>
        </w:tc>
      </w:tr>
      <w:tr>
        <w:trPr/>
        <w:tc>
          <w:tcPr>
            <w:tcW w:w="18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15,571</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Custodial Account for Child</w:t>
            </w:r>
            <w:r>
              <w:rPr>
                <w:rFonts w:ascii="Times;serif" w:hAnsi="Times;serif"/>
                <w:color w:val="008000"/>
                <w:position w:val="7"/>
                <w:sz w:val="16"/>
                <w:sz w:val="20"/>
                <w:shd w:fill="FFFFFF" w:val="clear"/>
              </w:rPr>
              <w:t>(4)</w:t>
            </w:r>
          </w:p>
        </w:tc>
      </w:tr>
      <w:tr>
        <w:trPr/>
        <w:tc>
          <w:tcPr>
            <w:tcW w:w="18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15,571</w:t>
            </w:r>
          </w:p>
        </w:tc>
        <w:tc>
          <w:tcPr>
            <w:tcW w:w="9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Custodial Account for Child</w:t>
            </w:r>
            <w:r>
              <w:rPr>
                <w:rFonts w:ascii="Times;serif" w:hAnsi="Times;serif"/>
                <w:color w:val="008000"/>
                <w:position w:val="7"/>
                <w:sz w:val="16"/>
                <w:sz w:val="20"/>
                <w:shd w:fill="FFFFFF" w:val="clear"/>
              </w:rPr>
              <w:t>(5)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251 shares underlying unvested restricted stock awards granted to the Reporting Person by the Issuer on September 2, 2025, 224 shares underlying unvested restricted stock awards granted to the Reporting Person by the Issuer on December 1, 2025, 499 shares underlying unvested restricted stock awards granted to the Reporting Person by the Issuer on March 2, 2026 and 776 shares underlying unvested restricted stock awards granted to the Reporting Person by the Issuer on June 1, 2026. 100% of the shares underlying the restricted stock awards will vest on the one-year anniversary of the grant date provided the Reporting Person satisfies certain requirements.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sale price for the entire number of shares sold. The actual sale prices range from $116.00 to $116.54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by Gary Charles Robb TTE Robb Revocable Trust of which the Reporting Person is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held by a child of the Reporting Person through a custodial account under the Uniform Transfers to Minors Act for which the Reporting Person is custodian.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shares are held by a child of the Reporting Person through a custodial account under the Uniform Transfers to Minors Act for which the Reporting Person is custodian.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power of attorney under which this form was signed is on file with the Commission.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Douglas Lyon, as attorney-in-fact for Gary Charles Robb</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29655" TargetMode="External"/><Relationship Id="rId5" Type="http://schemas.openxmlformats.org/officeDocument/2006/relationships/hyperlink" Target="http://www.sec.gov/cgi-bin/browse-edgar?action=getcompany&amp;CIK=00010888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853</Words>
  <Characters>4563</Characters>
  <CharactersWithSpaces>5325</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