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CORCEPT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5,261,628.00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5,261,628.00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5,261,628.00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Holdings Corporation</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5,261,628.00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5,261,628.00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5,261,628.00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CORCEPT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REDWOOD SHORES PARKWAY, REDWOOD CITY, CA 94065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Renaissance Technologies LLC ("RTC") and Renaissance Technologies Holdings Corporation ("RTHC").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520 Madison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RTC is a Delaware limited liability company, and RTHC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5261628</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4.90  %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5261628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5261628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funds managed by RTC have the right to receive dividends and proceeds from the sale of the securities which are the subject of this report.</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Renaissance Technologies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Brian Felczak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4956"/>
        <w:gridCol w:w="4956"/>
      </w:tblGrid>
      <w:tr>
        <w:trPr/>
        <w:tc>
          <w:tcPr>
            <w:tcW w:w="4956" w:type="dxa"/>
            <w:tcBorders/>
            <w:vAlign w:val="center"/>
          </w:tcPr>
          <w:p>
            <w:pPr>
              <w:pStyle w:val="TableContents"/>
              <w:bidi w:val="0"/>
              <w:spacing w:before="0" w:after="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0"/>
                    <w:jc w:val="left"/>
                    <w:rPr/>
                  </w:pPr>
                  <w:r>
                    <w:rPr/>
                    <w:t>Renaissance Technologies Holdings Corporation</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Brian Felczak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In accordance with Rule 13d-1(k) under the Securities Exchange Act of 1934, as amended, each of the undersigned agrees to the filing on behalf of each of a Statement on Schedule 13G, and all amendments thereto, with respect to the shares of Common Stock, $0.001 par value of CORCEPT THERAPEUTICS INC.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5467</Characters>
  <CharactersWithSpaces>6496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