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15"/>
        <w:gridCol w:w="340"/>
        <w:gridCol w:w="808"/>
        <w:gridCol w:w="417"/>
        <w:gridCol w:w="1104"/>
        <w:gridCol w:w="1251"/>
        <w:gridCol w:w="964"/>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110.4949</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1,081,490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111.4425</w:t>
            </w:r>
            <w:r>
              <w:rPr>
                <w:rFonts w:ascii="Times;serif" w:hAnsi="Times;serif"/>
                <w:color w:val="008000"/>
                <w:position w:val="7"/>
                <w:sz w:val="16"/>
                <w:sz w:val="20"/>
                <w:shd w:fill="FFFFFF" w:val="clear"/>
              </w:rPr>
              <w:t>(3)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1,076,822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112.6398</w:t>
            </w:r>
            <w:r>
              <w:rPr>
                <w:rFonts w:ascii="Times;serif" w:hAnsi="Times;serif"/>
                <w:color w:val="008000"/>
                <w:position w:val="7"/>
                <w:sz w:val="16"/>
                <w:sz w:val="20"/>
                <w:shd w:fill="FFFFFF" w:val="clear"/>
              </w:rPr>
              <w:t>(4)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1,074,543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James N. Wilson 2025 Grantor Retained Annuity Trust</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Pamela D. Wilson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10b5-1 plan adopted by the Reporting Person on March 12,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for the entire number of shares sold. The actual sale prices range from $110.00 to $110.98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$111.01 to $112.00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$112.51 to $112.83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has voting power over the shares held by the James N. Wilson and Pamela D. Wilson Trust pursuant to voting agreements and disclaims beneficial ownership of all of such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James N.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6387"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4530</Characters>
  <CharactersWithSpaces>5288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